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spacing w:line="500" w:lineRule="exact"/>
        <w:jc w:val="center"/>
        <w:rPr>
          <w:rFonts w:eastAsia="方正小标宋_GBK"/>
          <w:sz w:val="44"/>
          <w:szCs w:val="44"/>
        </w:rPr>
      </w:pPr>
      <w:r>
        <w:rPr>
          <w:rFonts w:eastAsia="方正小标宋_GBK"/>
          <w:sz w:val="44"/>
          <w:szCs w:val="44"/>
        </w:rPr>
        <w:t>重庆市城市管理局</w:t>
      </w:r>
    </w:p>
    <w:p>
      <w:pPr>
        <w:spacing w:line="500" w:lineRule="exact"/>
        <w:jc w:val="center"/>
        <w:rPr>
          <w:rFonts w:eastAsia="方正小标宋_GBK"/>
          <w:sz w:val="44"/>
          <w:szCs w:val="44"/>
        </w:rPr>
      </w:pPr>
      <w:r>
        <w:rPr>
          <w:rFonts w:eastAsia="方正小标宋_GBK"/>
          <w:sz w:val="44"/>
          <w:szCs w:val="44"/>
        </w:rPr>
        <w:t>关于印发重庆市城市公园分类分级</w:t>
      </w:r>
    </w:p>
    <w:p>
      <w:pPr>
        <w:spacing w:line="500" w:lineRule="exact"/>
        <w:jc w:val="center"/>
        <w:rPr>
          <w:rFonts w:eastAsia="方正小标宋_GBK"/>
          <w:sz w:val="44"/>
          <w:szCs w:val="44"/>
        </w:rPr>
      </w:pPr>
      <w:r>
        <w:rPr>
          <w:rFonts w:eastAsia="方正小标宋_GBK"/>
          <w:sz w:val="44"/>
          <w:szCs w:val="44"/>
        </w:rPr>
        <w:t>管理办法的通知</w:t>
      </w:r>
    </w:p>
    <w:p>
      <w:pPr>
        <w:pStyle w:val="2"/>
        <w:jc w:val="center"/>
      </w:pPr>
      <w:r>
        <w:rPr>
          <w:rFonts w:eastAsia="方正仿宋_GBK"/>
          <w:sz w:val="32"/>
          <w:szCs w:val="32"/>
        </w:rPr>
        <w:t>渝城管局发〔2022〕1号</w:t>
      </w:r>
    </w:p>
    <w:p>
      <w:pPr>
        <w:pStyle w:val="5"/>
        <w:spacing w:line="500" w:lineRule="exact"/>
      </w:pPr>
      <w:bookmarkStart w:id="0" w:name="_GoBack"/>
      <w:bookmarkEnd w:id="0"/>
    </w:p>
    <w:p>
      <w:pPr>
        <w:spacing w:line="500" w:lineRule="exact"/>
      </w:pPr>
      <w:r>
        <w:rPr>
          <w:rFonts w:eastAsia="方正仿宋_GBK"/>
          <w:bCs/>
          <w:color w:val="000000"/>
          <w:kern w:val="0"/>
          <w:sz w:val="32"/>
          <w:szCs w:val="32"/>
        </w:rPr>
        <w:t>各区县（自治县，两江新区、重庆高新区、万盛经开区）城市管理局，局属各单位</w:t>
      </w:r>
      <w:r>
        <w:rPr>
          <w:rFonts w:eastAsia="方正仿宋_GBK"/>
          <w:sz w:val="32"/>
          <w:szCs w:val="32"/>
        </w:rPr>
        <w:t>：</w:t>
      </w:r>
    </w:p>
    <w:p>
      <w:pPr>
        <w:spacing w:line="500" w:lineRule="exact"/>
        <w:ind w:firstLine="640" w:firstLineChars="200"/>
        <w:rPr>
          <w:rFonts w:eastAsia="方正仿宋_GBK"/>
          <w:sz w:val="32"/>
          <w:szCs w:val="32"/>
        </w:rPr>
      </w:pPr>
      <w:r>
        <w:rPr>
          <w:rFonts w:eastAsia="方正仿宋_GBK"/>
          <w:sz w:val="32"/>
          <w:szCs w:val="32"/>
        </w:rPr>
        <w:t>《重庆市城市公园分类分级管理办法》已经市城市管理局2021年度第25次局长办公会议审议通过，现印发给你们，请认真贯彻执行。</w:t>
      </w:r>
    </w:p>
    <w:p>
      <w:pPr>
        <w:pStyle w:val="5"/>
        <w:spacing w:line="500" w:lineRule="exact"/>
        <w:ind w:firstLine="640" w:firstLineChars="200"/>
        <w:jc w:val="right"/>
        <w:rPr>
          <w:rFonts w:eastAsia="方正仿宋_GBK"/>
          <w:sz w:val="32"/>
          <w:szCs w:val="32"/>
        </w:rPr>
      </w:pPr>
    </w:p>
    <w:p>
      <w:pPr>
        <w:spacing w:line="500" w:lineRule="exact"/>
        <w:ind w:firstLine="4960" w:firstLineChars="1550"/>
        <w:jc w:val="left"/>
        <w:rPr>
          <w:rFonts w:eastAsia="方正仿宋_GBK"/>
          <w:sz w:val="32"/>
          <w:szCs w:val="32"/>
        </w:rPr>
      </w:pPr>
      <w:r>
        <w:rPr>
          <w:rFonts w:eastAsia="方正仿宋_GBK"/>
          <w:sz w:val="32"/>
          <w:szCs w:val="32"/>
        </w:rPr>
        <w:t>重庆市城市管理局　　　　</w:t>
      </w:r>
    </w:p>
    <w:p>
      <w:pPr>
        <w:spacing w:line="500" w:lineRule="exact"/>
        <w:ind w:firstLine="5120" w:firstLineChars="1600"/>
        <w:jc w:val="left"/>
        <w:rPr>
          <w:rFonts w:eastAsia="方正仿宋_GBK"/>
          <w:sz w:val="32"/>
          <w:szCs w:val="32"/>
        </w:rPr>
      </w:pPr>
      <w:r>
        <w:rPr>
          <w:rFonts w:eastAsia="方正仿宋_GBK"/>
          <w:sz w:val="32"/>
          <w:szCs w:val="32"/>
        </w:rPr>
        <w:t>2022年</w:t>
      </w:r>
      <w:r>
        <w:rPr>
          <w:rFonts w:hint="eastAsia" w:eastAsia="方正仿宋_GBK"/>
          <w:sz w:val="32"/>
          <w:szCs w:val="32"/>
        </w:rPr>
        <w:t>2</w:t>
      </w:r>
      <w:r>
        <w:rPr>
          <w:rFonts w:eastAsia="方正仿宋_GBK"/>
          <w:sz w:val="32"/>
          <w:szCs w:val="32"/>
        </w:rPr>
        <w:t>月</w:t>
      </w:r>
      <w:r>
        <w:rPr>
          <w:rFonts w:hint="eastAsia" w:eastAsia="方正仿宋_GBK"/>
          <w:sz w:val="32"/>
          <w:szCs w:val="32"/>
        </w:rPr>
        <w:t>28</w:t>
      </w:r>
      <w:r>
        <w:rPr>
          <w:rFonts w:eastAsia="方正仿宋_GBK"/>
          <w:sz w:val="32"/>
          <w:szCs w:val="32"/>
        </w:rPr>
        <w:t>日 　　　</w:t>
      </w:r>
    </w:p>
    <w:p>
      <w:pPr>
        <w:pStyle w:val="5"/>
        <w:spacing w:line="500" w:lineRule="exact"/>
        <w:rPr>
          <w:rFonts w:eastAsia="方正仿宋_GBK"/>
          <w:sz w:val="32"/>
          <w:szCs w:val="32"/>
        </w:rPr>
      </w:pPr>
      <w:r>
        <w:rPr>
          <w:rFonts w:eastAsia="方正仿宋_GBK"/>
          <w:sz w:val="32"/>
          <w:szCs w:val="32"/>
        </w:rPr>
        <w:t xml:space="preserve">    （此件公开发布）</w:t>
      </w:r>
    </w:p>
    <w:p>
      <w:pPr>
        <w:spacing w:line="600" w:lineRule="exact"/>
        <w:jc w:val="center"/>
        <w:rPr>
          <w:rFonts w:eastAsia="方正小标宋_GBK"/>
          <w:kern w:val="1"/>
          <w:sz w:val="44"/>
          <w:szCs w:val="44"/>
        </w:rPr>
      </w:pPr>
      <w:r>
        <w:rPr>
          <w:rFonts w:eastAsia="方正小标宋_GBK"/>
          <w:kern w:val="1"/>
          <w:sz w:val="44"/>
          <w:szCs w:val="44"/>
        </w:rPr>
        <w:br w:type="page"/>
      </w:r>
    </w:p>
    <w:p>
      <w:pPr>
        <w:spacing w:line="600" w:lineRule="exact"/>
        <w:jc w:val="center"/>
        <w:rPr>
          <w:rFonts w:eastAsia="方正小标宋_GBK"/>
          <w:kern w:val="1"/>
          <w:sz w:val="44"/>
          <w:szCs w:val="44"/>
        </w:rPr>
      </w:pPr>
    </w:p>
    <w:p>
      <w:pPr>
        <w:spacing w:line="600" w:lineRule="exact"/>
        <w:jc w:val="center"/>
        <w:rPr>
          <w:rFonts w:eastAsia="方正小标宋_GBK"/>
          <w:sz w:val="44"/>
          <w:szCs w:val="44"/>
        </w:rPr>
      </w:pPr>
      <w:r>
        <w:rPr>
          <w:rFonts w:eastAsia="方正小标宋_GBK"/>
          <w:sz w:val="44"/>
          <w:szCs w:val="44"/>
        </w:rPr>
        <w:t>重庆市城市公园分类分级管理办法</w:t>
      </w:r>
    </w:p>
    <w:p>
      <w:pPr>
        <w:spacing w:line="600" w:lineRule="exact"/>
        <w:ind w:firstLine="643" w:firstLineChars="200"/>
        <w:rPr>
          <w:rFonts w:eastAsia="方正仿宋_GBK"/>
          <w:b/>
          <w:sz w:val="32"/>
          <w:szCs w:val="32"/>
        </w:rPr>
      </w:pPr>
    </w:p>
    <w:p>
      <w:pPr>
        <w:widowControl/>
        <w:shd w:val="clear" w:color="auto" w:fill="FFFFFF"/>
        <w:spacing w:line="600" w:lineRule="exact"/>
        <w:ind w:firstLine="640" w:firstLineChars="200"/>
        <w:rPr>
          <w:rFonts w:eastAsia="方正仿宋_GBK"/>
          <w:sz w:val="32"/>
          <w:szCs w:val="32"/>
        </w:rPr>
      </w:pPr>
      <w:r>
        <w:rPr>
          <w:rFonts w:eastAsia="黑体"/>
          <w:bCs/>
          <w:color w:val="000000"/>
          <w:sz w:val="32"/>
          <w:szCs w:val="32"/>
        </w:rPr>
        <w:t>第一条</w:t>
      </w:r>
      <w:r>
        <w:rPr>
          <w:rFonts w:eastAsia="方正黑体_GBK"/>
          <w:b/>
          <w:color w:val="000000"/>
          <w:sz w:val="32"/>
          <w:szCs w:val="32"/>
        </w:rPr>
        <w:t xml:space="preserve">  </w:t>
      </w:r>
      <w:r>
        <w:rPr>
          <w:rFonts w:eastAsia="方正仿宋_GBK"/>
          <w:sz w:val="32"/>
          <w:szCs w:val="32"/>
        </w:rPr>
        <w:t>为进一步推进城市公园精细化管理，促进城市公园高质量发展，实现城市高品质生活，依据《重庆市城市园林绿化条例》、《重庆市公园管理条例》等法律法规，结合本市实际，制定本办法。</w:t>
      </w:r>
    </w:p>
    <w:p>
      <w:pPr>
        <w:widowControl/>
        <w:shd w:val="clear" w:color="auto" w:fill="FFFFFF"/>
        <w:spacing w:line="600" w:lineRule="exact"/>
        <w:ind w:firstLine="640" w:firstLineChars="200"/>
        <w:rPr>
          <w:rFonts w:eastAsia="仿宋_GB2312"/>
          <w:sz w:val="28"/>
          <w:szCs w:val="28"/>
        </w:rPr>
      </w:pPr>
      <w:r>
        <w:rPr>
          <w:rFonts w:eastAsia="黑体"/>
          <w:bCs/>
          <w:color w:val="000000"/>
          <w:sz w:val="32"/>
          <w:szCs w:val="32"/>
        </w:rPr>
        <w:t>第二条</w:t>
      </w:r>
      <w:r>
        <w:rPr>
          <w:rFonts w:eastAsia="方正黑体_GBK"/>
          <w:b/>
          <w:color w:val="000000"/>
          <w:sz w:val="32"/>
          <w:szCs w:val="32"/>
        </w:rPr>
        <w:t xml:space="preserve">  </w:t>
      </w:r>
      <w:r>
        <w:rPr>
          <w:rFonts w:eastAsia="方正仿宋_GBK"/>
          <w:sz w:val="32"/>
          <w:szCs w:val="32"/>
        </w:rPr>
        <w:t>本办法适用于本市城市公园，主要包括综合公园、专类公园、社区公园，以及城市绿地系统规划中确定的城市生态公园。纳入本办法管理的城市公园面积原则上不低于1公顷。</w:t>
      </w:r>
    </w:p>
    <w:p>
      <w:pPr>
        <w:widowControl/>
        <w:shd w:val="clear" w:color="auto" w:fill="FFFFFF"/>
        <w:spacing w:line="600" w:lineRule="exact"/>
        <w:ind w:firstLine="640" w:firstLineChars="200"/>
        <w:rPr>
          <w:rFonts w:eastAsia="仿宋_GB2312"/>
          <w:kern w:val="0"/>
          <w:sz w:val="28"/>
          <w:szCs w:val="28"/>
        </w:rPr>
      </w:pPr>
      <w:r>
        <w:rPr>
          <w:rFonts w:eastAsia="黑体"/>
          <w:bCs/>
          <w:color w:val="000000"/>
          <w:sz w:val="32"/>
          <w:szCs w:val="32"/>
        </w:rPr>
        <w:t>第三条</w:t>
      </w:r>
      <w:r>
        <w:rPr>
          <w:rFonts w:eastAsia="方正仿宋_GBK"/>
          <w:b/>
          <w:color w:val="000000"/>
          <w:sz w:val="32"/>
          <w:szCs w:val="32"/>
        </w:rPr>
        <w:t xml:space="preserve"> </w:t>
      </w:r>
      <w:r>
        <w:rPr>
          <w:rFonts w:eastAsia="方正黑体_GBK"/>
          <w:b/>
          <w:color w:val="000000"/>
          <w:sz w:val="32"/>
          <w:szCs w:val="32"/>
        </w:rPr>
        <w:t xml:space="preserve"> </w:t>
      </w:r>
      <w:r>
        <w:rPr>
          <w:rFonts w:eastAsia="方正仿宋_GBK"/>
          <w:sz w:val="32"/>
          <w:szCs w:val="32"/>
        </w:rPr>
        <w:t>本市城市公园实行分类分级管理。</w:t>
      </w:r>
    </w:p>
    <w:p>
      <w:pPr>
        <w:widowControl/>
        <w:shd w:val="clear" w:color="auto" w:fill="FFFFFF"/>
        <w:spacing w:line="600" w:lineRule="exact"/>
        <w:ind w:firstLine="640" w:firstLineChars="200"/>
        <w:rPr>
          <w:rFonts w:eastAsia="仿宋_GB2312"/>
          <w:kern w:val="0"/>
          <w:sz w:val="28"/>
          <w:szCs w:val="28"/>
        </w:rPr>
      </w:pPr>
      <w:r>
        <w:rPr>
          <w:rFonts w:eastAsia="黑体"/>
          <w:bCs/>
          <w:color w:val="000000"/>
          <w:sz w:val="32"/>
          <w:szCs w:val="32"/>
        </w:rPr>
        <w:t>第四条</w:t>
      </w:r>
      <w:r>
        <w:rPr>
          <w:rFonts w:eastAsia="方正黑体_GBK"/>
          <w:b/>
          <w:color w:val="000000"/>
          <w:sz w:val="32"/>
          <w:szCs w:val="32"/>
        </w:rPr>
        <w:t xml:space="preserve">  </w:t>
      </w:r>
      <w:r>
        <w:rPr>
          <w:rFonts w:eastAsia="方正仿宋_GBK"/>
          <w:sz w:val="32"/>
          <w:szCs w:val="32"/>
        </w:rPr>
        <w:t>纳入本办法管理的城市公园按照功能、服务范围和特定主题等分为4类：</w:t>
      </w:r>
    </w:p>
    <w:p>
      <w:pPr>
        <w:spacing w:line="600" w:lineRule="exact"/>
        <w:ind w:firstLine="640" w:firstLineChars="200"/>
        <w:rPr>
          <w:rFonts w:eastAsia="方正仿宋_GBK"/>
          <w:sz w:val="32"/>
          <w:szCs w:val="32"/>
        </w:rPr>
      </w:pPr>
      <w:r>
        <w:rPr>
          <w:rFonts w:eastAsia="方正仿宋_GBK"/>
          <w:sz w:val="32"/>
          <w:szCs w:val="32"/>
        </w:rPr>
        <w:t>（一）综合公园：指内容丰富、功能完备、设施完善，为市民提供休闲游憩且具有一定规模的绿地。</w:t>
      </w:r>
    </w:p>
    <w:p>
      <w:pPr>
        <w:spacing w:line="600" w:lineRule="exact"/>
        <w:ind w:firstLine="640" w:firstLineChars="200"/>
        <w:rPr>
          <w:rFonts w:eastAsia="方正仿宋_GBK"/>
          <w:sz w:val="32"/>
          <w:szCs w:val="32"/>
        </w:rPr>
      </w:pPr>
      <w:r>
        <w:rPr>
          <w:rFonts w:eastAsia="方正仿宋_GBK"/>
          <w:sz w:val="32"/>
          <w:szCs w:val="32"/>
        </w:rPr>
        <w:t>（二）社区公园：指用地独立，具有基本的游憩和服务设施，主要为一定社区范围内居民就近开展日常休闲活动服务的绿地。</w:t>
      </w:r>
    </w:p>
    <w:p>
      <w:pPr>
        <w:spacing w:line="600" w:lineRule="exact"/>
        <w:ind w:firstLine="640" w:firstLineChars="200"/>
        <w:rPr>
          <w:rFonts w:eastAsia="方正仿宋_GBK"/>
          <w:sz w:val="32"/>
          <w:szCs w:val="32"/>
        </w:rPr>
      </w:pPr>
      <w:r>
        <w:rPr>
          <w:rFonts w:eastAsia="方正仿宋_GBK"/>
          <w:sz w:val="32"/>
          <w:szCs w:val="32"/>
        </w:rPr>
        <w:t>（三）专类公园：指具有特定内容或者形式，有相应的游憩和服务设施的绿地，主要包括动物园、植物园、遗址公园、游乐公园、历史名园以及其他专类公园。</w:t>
      </w:r>
    </w:p>
    <w:p>
      <w:pPr>
        <w:spacing w:line="600" w:lineRule="exact"/>
        <w:ind w:firstLine="640" w:firstLineChars="200"/>
        <w:rPr>
          <w:rFonts w:eastAsia="方正仿宋_GBK"/>
          <w:kern w:val="0"/>
          <w:sz w:val="32"/>
          <w:szCs w:val="32"/>
        </w:rPr>
      </w:pPr>
      <w:r>
        <w:rPr>
          <w:rFonts w:eastAsia="方正仿宋_GBK"/>
          <w:sz w:val="32"/>
          <w:szCs w:val="32"/>
        </w:rPr>
        <w:t>（四）城市生态公园：指用地性质为非建设用地，但紧邻城市建设用地或者被建设用地包围，具备山体、水系、林地、草地、湿地等自然景观资源，且具有保障城市生态安全功能和一定的城市公园服务设施，能够满足市民游览观光、休闲运动需求的绿地。</w:t>
      </w:r>
    </w:p>
    <w:p>
      <w:pPr>
        <w:widowControl/>
        <w:shd w:val="clear" w:color="auto" w:fill="FFFFFF"/>
        <w:spacing w:line="600" w:lineRule="exact"/>
        <w:ind w:firstLine="640" w:firstLineChars="200"/>
        <w:rPr>
          <w:rFonts w:eastAsia="方正仿宋_GBK"/>
          <w:kern w:val="0"/>
          <w:sz w:val="32"/>
          <w:szCs w:val="32"/>
        </w:rPr>
      </w:pPr>
      <w:r>
        <w:rPr>
          <w:rFonts w:eastAsia="黑体"/>
          <w:bCs/>
          <w:color w:val="000000"/>
          <w:sz w:val="32"/>
          <w:szCs w:val="32"/>
        </w:rPr>
        <w:t>第五条</w:t>
      </w:r>
      <w:r>
        <w:rPr>
          <w:rFonts w:eastAsia="方正仿宋_GBK"/>
          <w:b/>
          <w:color w:val="000000"/>
          <w:sz w:val="32"/>
          <w:szCs w:val="32"/>
        </w:rPr>
        <w:t xml:space="preserve">  </w:t>
      </w:r>
      <w:r>
        <w:rPr>
          <w:rFonts w:eastAsia="方正仿宋_GBK"/>
          <w:sz w:val="32"/>
          <w:szCs w:val="32"/>
        </w:rPr>
        <w:t>城市公园类别由区县（自治县）城市园林绿化主管部门初审，并上报市城市园林绿化主管部门确认。城市公园类别确定后原则上不再调整，确需调整的应履行相关程序。</w:t>
      </w:r>
    </w:p>
    <w:p>
      <w:pPr>
        <w:spacing w:line="600" w:lineRule="exact"/>
        <w:ind w:firstLine="640" w:firstLineChars="200"/>
        <w:rPr>
          <w:rFonts w:eastAsia="方正仿宋_GBK"/>
          <w:sz w:val="32"/>
          <w:szCs w:val="32"/>
        </w:rPr>
      </w:pPr>
      <w:r>
        <w:rPr>
          <w:rFonts w:eastAsia="黑体"/>
          <w:bCs/>
          <w:color w:val="000000"/>
          <w:sz w:val="32"/>
          <w:szCs w:val="32"/>
        </w:rPr>
        <w:t>第六条</w:t>
      </w:r>
      <w:r>
        <w:rPr>
          <w:rFonts w:eastAsia="方正仿宋_GBK"/>
          <w:b/>
          <w:color w:val="000000"/>
          <w:sz w:val="32"/>
          <w:szCs w:val="32"/>
        </w:rPr>
        <w:t xml:space="preserve">  </w:t>
      </w:r>
      <w:r>
        <w:rPr>
          <w:rFonts w:eastAsia="方正仿宋_GBK"/>
          <w:sz w:val="32"/>
          <w:szCs w:val="32"/>
        </w:rPr>
        <w:t>城市公园按照公园品质和管理水平分为一级公园、二级公园。</w:t>
      </w:r>
    </w:p>
    <w:p>
      <w:pPr>
        <w:spacing w:line="600" w:lineRule="exact"/>
        <w:ind w:firstLine="640" w:firstLineChars="200"/>
        <w:rPr>
          <w:rFonts w:eastAsia="方正仿宋_GBK"/>
          <w:sz w:val="32"/>
          <w:szCs w:val="32"/>
        </w:rPr>
      </w:pPr>
      <w:r>
        <w:rPr>
          <w:rFonts w:eastAsia="方正仿宋_GBK"/>
          <w:sz w:val="32"/>
          <w:szCs w:val="32"/>
        </w:rPr>
        <w:t>公园品质优良，管理水平高的公园为一级公园。</w:t>
      </w:r>
    </w:p>
    <w:p>
      <w:pPr>
        <w:spacing w:line="600" w:lineRule="exact"/>
        <w:ind w:firstLine="640" w:firstLineChars="200"/>
        <w:rPr>
          <w:rFonts w:eastAsia="方正仿宋_GBK"/>
          <w:kern w:val="0"/>
          <w:sz w:val="32"/>
          <w:szCs w:val="32"/>
        </w:rPr>
      </w:pPr>
      <w:r>
        <w:rPr>
          <w:rFonts w:eastAsia="方正仿宋_GBK"/>
          <w:sz w:val="32"/>
          <w:szCs w:val="32"/>
        </w:rPr>
        <w:t>公园品质较好，管理水平较高的公园为二级公园。</w:t>
      </w:r>
    </w:p>
    <w:p>
      <w:pPr>
        <w:widowControl/>
        <w:shd w:val="clear" w:color="auto" w:fill="FFFFFF"/>
        <w:spacing w:line="600" w:lineRule="exact"/>
        <w:ind w:firstLine="640" w:firstLineChars="200"/>
        <w:rPr>
          <w:rFonts w:eastAsia="方正仿宋_GBK"/>
          <w:sz w:val="32"/>
          <w:szCs w:val="32"/>
        </w:rPr>
      </w:pPr>
      <w:r>
        <w:rPr>
          <w:rFonts w:eastAsia="黑体"/>
          <w:bCs/>
          <w:color w:val="000000"/>
          <w:sz w:val="32"/>
          <w:szCs w:val="32"/>
        </w:rPr>
        <w:t>第七条</w:t>
      </w:r>
      <w:r>
        <w:rPr>
          <w:rFonts w:eastAsia="方正仿宋_GBK"/>
          <w:b/>
          <w:color w:val="000000"/>
          <w:sz w:val="32"/>
          <w:szCs w:val="32"/>
        </w:rPr>
        <w:t xml:space="preserve">  </w:t>
      </w:r>
      <w:r>
        <w:rPr>
          <w:rFonts w:eastAsia="方正仿宋_GBK"/>
          <w:sz w:val="32"/>
          <w:szCs w:val="32"/>
        </w:rPr>
        <w:t>本市城市公园分级评定每两年开展一次，实行逐级评定。首次评定结果分为一级公园、二级公园和未定级公园，二级公园两年后方可申报一级公园，未定级公园两年后方可申报二级公园。</w:t>
      </w:r>
    </w:p>
    <w:p>
      <w:pPr>
        <w:widowControl/>
        <w:shd w:val="clear" w:color="auto" w:fill="FFFFFF"/>
        <w:spacing w:line="600" w:lineRule="exact"/>
        <w:ind w:firstLine="640" w:firstLineChars="200"/>
        <w:rPr>
          <w:rFonts w:eastAsia="仿宋_GB2312"/>
          <w:kern w:val="0"/>
          <w:sz w:val="28"/>
          <w:szCs w:val="28"/>
        </w:rPr>
      </w:pPr>
      <w:r>
        <w:rPr>
          <w:rFonts w:eastAsia="黑体"/>
          <w:bCs/>
          <w:color w:val="000000"/>
          <w:sz w:val="32"/>
          <w:szCs w:val="32"/>
        </w:rPr>
        <w:t>第八条</w:t>
      </w:r>
      <w:r>
        <w:rPr>
          <w:rFonts w:eastAsia="方正仿宋_GBK"/>
          <w:b/>
          <w:color w:val="000000"/>
          <w:sz w:val="32"/>
          <w:szCs w:val="32"/>
        </w:rPr>
        <w:t xml:space="preserve">  </w:t>
      </w:r>
      <w:r>
        <w:rPr>
          <w:rFonts w:eastAsia="方正仿宋_GBK"/>
          <w:sz w:val="32"/>
          <w:szCs w:val="32"/>
        </w:rPr>
        <w:t>市城市园林绿化主管部门负责城市公园分类分级评审工作。城市公园等级由区县（自治县）城市园林绿化主管部门根据城市公园分级评定细则（另行制定）初定，在申报年度的第一季度末向市城市园林绿化主管部门申报。市城市园林绿化主管部门组织评审后，将评定结果向社会公示。</w:t>
      </w:r>
    </w:p>
    <w:p>
      <w:pPr>
        <w:widowControl/>
        <w:shd w:val="clear" w:color="auto" w:fill="FFFFFF"/>
        <w:spacing w:line="600" w:lineRule="exact"/>
        <w:ind w:firstLine="640" w:firstLineChars="200"/>
        <w:rPr>
          <w:rFonts w:eastAsia="方正仿宋_GBK"/>
          <w:sz w:val="32"/>
          <w:szCs w:val="32"/>
        </w:rPr>
      </w:pPr>
      <w:r>
        <w:rPr>
          <w:rFonts w:eastAsia="黑体"/>
          <w:bCs/>
          <w:color w:val="000000"/>
          <w:sz w:val="32"/>
          <w:szCs w:val="32"/>
        </w:rPr>
        <w:t>第九条</w:t>
      </w:r>
      <w:r>
        <w:rPr>
          <w:rFonts w:eastAsia="方正仿宋_GBK"/>
          <w:b/>
          <w:color w:val="000000"/>
          <w:sz w:val="32"/>
          <w:szCs w:val="32"/>
        </w:rPr>
        <w:t xml:space="preserve">  </w:t>
      </w:r>
      <w:r>
        <w:rPr>
          <w:rFonts w:eastAsia="方正仿宋_GBK"/>
          <w:sz w:val="32"/>
          <w:szCs w:val="32"/>
        </w:rPr>
        <w:t>城市公园分类分级评定结果公示无异议后，由市城市园林绿化主管部门负责对一级公园和二级公园挂牌并向社会公布。</w:t>
      </w:r>
    </w:p>
    <w:p>
      <w:pPr>
        <w:widowControl/>
        <w:shd w:val="clear" w:color="auto" w:fill="FFFFFF"/>
        <w:spacing w:line="600" w:lineRule="exact"/>
        <w:ind w:firstLine="640" w:firstLineChars="200"/>
        <w:rPr>
          <w:rFonts w:eastAsia="方正仿宋_GBK"/>
          <w:kern w:val="0"/>
          <w:sz w:val="32"/>
          <w:szCs w:val="32"/>
        </w:rPr>
      </w:pPr>
      <w:r>
        <w:rPr>
          <w:rFonts w:eastAsia="黑体"/>
          <w:bCs/>
          <w:color w:val="000000"/>
          <w:sz w:val="32"/>
          <w:szCs w:val="32"/>
        </w:rPr>
        <w:t>第十条</w:t>
      </w:r>
      <w:r>
        <w:rPr>
          <w:rFonts w:eastAsia="方正仿宋_GBK"/>
          <w:b/>
          <w:color w:val="000000"/>
          <w:sz w:val="32"/>
          <w:szCs w:val="32"/>
        </w:rPr>
        <w:t xml:space="preserve">  </w:t>
      </w:r>
      <w:r>
        <w:rPr>
          <w:rFonts w:eastAsia="方正仿宋_GBK"/>
          <w:sz w:val="32"/>
          <w:szCs w:val="32"/>
        </w:rPr>
        <w:t>市城市园林绿化主管部门每两年对已定级的城市公园开展一次复查。公园品质和管理水平达不到其等级要求的，由市城市园林绿化主管部门提出限期整改要求，对整改不到位的予以降级。</w:t>
      </w:r>
    </w:p>
    <w:p>
      <w:pPr>
        <w:adjustRightInd w:val="0"/>
        <w:snapToGrid w:val="0"/>
        <w:spacing w:line="600" w:lineRule="exact"/>
        <w:ind w:firstLine="566" w:firstLineChars="177"/>
        <w:rPr>
          <w:rFonts w:eastAsia="方正仿宋_GBK"/>
          <w:color w:val="000000"/>
          <w:sz w:val="32"/>
          <w:szCs w:val="32"/>
        </w:rPr>
      </w:pPr>
      <w:r>
        <w:rPr>
          <w:rFonts w:eastAsia="黑体"/>
          <w:bCs/>
          <w:color w:val="000000"/>
          <w:sz w:val="32"/>
          <w:szCs w:val="32"/>
        </w:rPr>
        <w:t>第十一条</w:t>
      </w:r>
      <w:r>
        <w:rPr>
          <w:rFonts w:eastAsia="方正仿宋_GBK"/>
          <w:b/>
          <w:color w:val="000000"/>
          <w:sz w:val="32"/>
          <w:szCs w:val="32"/>
        </w:rPr>
        <w:t xml:space="preserve">  </w:t>
      </w:r>
      <w:r>
        <w:rPr>
          <w:rFonts w:eastAsia="方正仿宋_GBK"/>
          <w:sz w:val="32"/>
          <w:szCs w:val="32"/>
        </w:rPr>
        <w:t>本办法自2022年</w:t>
      </w:r>
      <w:r>
        <w:rPr>
          <w:rFonts w:hint="eastAsia" w:eastAsia="方正仿宋_GBK"/>
          <w:sz w:val="32"/>
          <w:szCs w:val="32"/>
        </w:rPr>
        <w:t>4</w:t>
      </w:r>
      <w:r>
        <w:rPr>
          <w:rFonts w:eastAsia="方正仿宋_GBK"/>
          <w:sz w:val="32"/>
          <w:szCs w:val="32"/>
        </w:rPr>
        <w:t>月</w:t>
      </w:r>
      <w:r>
        <w:rPr>
          <w:rFonts w:hint="eastAsia" w:eastAsia="方正仿宋_GBK"/>
          <w:sz w:val="32"/>
          <w:szCs w:val="32"/>
        </w:rPr>
        <w:t>1</w:t>
      </w:r>
      <w:r>
        <w:rPr>
          <w:rFonts w:eastAsia="方正仿宋_GBK"/>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eastAsia="方正仿宋_GBK"/>
          <w:color w:val="000000"/>
          <w:sz w:val="32"/>
          <w:szCs w:val="32"/>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3A528D7"/>
    <w:rsid w:val="648B0A32"/>
    <w:rsid w:val="658F6764"/>
    <w:rsid w:val="665233C1"/>
    <w:rsid w:val="69AC0D42"/>
    <w:rsid w:val="6AD9688B"/>
    <w:rsid w:val="6B68303F"/>
    <w:rsid w:val="6D0E3F22"/>
    <w:rsid w:val="744E4660"/>
    <w:rsid w:val="753355A2"/>
    <w:rsid w:val="759F1C61"/>
    <w:rsid w:val="769F2DE8"/>
    <w:rsid w:val="76FDEB7C"/>
    <w:rsid w:val="79C65162"/>
    <w:rsid w:val="79EE7E31"/>
    <w:rsid w:val="7A4D6DD4"/>
    <w:rsid w:val="7C9011D9"/>
    <w:rsid w:val="7DC651C5"/>
    <w:rsid w:val="7FA300A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1183</Words>
  <Characters>1194</Characters>
  <Lines>1</Lines>
  <Paragraphs>1</Paragraphs>
  <TotalTime>1</TotalTime>
  <ScaleCrop>false</ScaleCrop>
  <LinksUpToDate>false</LinksUpToDate>
  <CharactersWithSpaces>1228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2022-06-13T06:36:37Z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F6A7E4D5BBC24E2EA8C0EAA24BB8D36F</vt:lpwstr>
  </property>
</Properties>
</file>